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F3B3E" w14:textId="77777777" w:rsidR="00E765A8" w:rsidRPr="00F1251E" w:rsidRDefault="00E765A8" w:rsidP="00E765A8">
      <w:r>
        <w:t xml:space="preserve">1. </w:t>
      </w:r>
      <w:r w:rsidRPr="00F1251E">
        <w:t xml:space="preserve">Уредите </w:t>
      </w:r>
      <w:r w:rsidRPr="00F1251E">
        <w:rPr>
          <w:lang w:val="sr"/>
        </w:rPr>
        <w:t xml:space="preserve">текст </w:t>
      </w:r>
      <w:r w:rsidRPr="00F1251E">
        <w:t>тако да:</w:t>
      </w:r>
    </w:p>
    <w:p w14:paraId="06C09012" w14:textId="77777777" w:rsidR="00E765A8" w:rsidRPr="00F1251E" w:rsidRDefault="00E765A8" w:rsidP="00E765A8">
      <w:pPr>
        <w:pStyle w:val="ListParagraph"/>
        <w:numPr>
          <w:ilvl w:val="0"/>
          <w:numId w:val="1"/>
        </w:numPr>
        <w:rPr>
          <w:rFonts w:ascii="Times New Roman" w:hAnsi="Times New Roman" w:cs="Times New Roman"/>
        </w:rPr>
      </w:pPr>
      <w:r w:rsidRPr="00F1251E">
        <w:rPr>
          <w:rFonts w:ascii="Times New Roman" w:hAnsi="Times New Roman" w:cs="Times New Roman"/>
        </w:rPr>
        <w:t>Одаберете и примените фонт прикладног типа (Times New Roman, Cambria, Calibri, Arial или неки други) и величине (12pt).</w:t>
      </w:r>
    </w:p>
    <w:p w14:paraId="2463AE26" w14:textId="77777777" w:rsidR="00E765A8" w:rsidRPr="00F1251E" w:rsidRDefault="00E765A8" w:rsidP="00E765A8">
      <w:pPr>
        <w:pStyle w:val="ListParagraph"/>
        <w:numPr>
          <w:ilvl w:val="0"/>
          <w:numId w:val="1"/>
        </w:numPr>
        <w:rPr>
          <w:rFonts w:ascii="Times New Roman" w:hAnsi="Times New Roman" w:cs="Times New Roman"/>
        </w:rPr>
      </w:pPr>
      <w:r w:rsidRPr="00F1251E">
        <w:rPr>
          <w:rFonts w:ascii="Times New Roman" w:hAnsi="Times New Roman" w:cs="Times New Roman"/>
        </w:rPr>
        <w:t>Поставите проред на 1.5.</w:t>
      </w:r>
    </w:p>
    <w:p w14:paraId="1F1CB6B5" w14:textId="77777777" w:rsidR="00E765A8" w:rsidRPr="00F1251E" w:rsidRDefault="00E765A8" w:rsidP="00E765A8">
      <w:pPr>
        <w:pStyle w:val="ListParagraph"/>
        <w:numPr>
          <w:ilvl w:val="0"/>
          <w:numId w:val="1"/>
        </w:numPr>
        <w:rPr>
          <w:rFonts w:ascii="Times New Roman" w:hAnsi="Times New Roman" w:cs="Times New Roman"/>
        </w:rPr>
      </w:pPr>
      <w:r w:rsidRPr="00F1251E">
        <w:rPr>
          <w:rFonts w:ascii="Times New Roman" w:hAnsi="Times New Roman" w:cs="Times New Roman"/>
        </w:rPr>
        <w:t>Уклоните сувишно форматирање, односно сувишно бојење, подвлачење, подебљавање и истицање курзивом.</w:t>
      </w:r>
    </w:p>
    <w:p w14:paraId="2B99FB7F" w14:textId="77777777" w:rsidR="00E765A8" w:rsidRPr="00F1251E" w:rsidRDefault="00E765A8" w:rsidP="00E765A8">
      <w:pPr>
        <w:pStyle w:val="ListParagraph"/>
        <w:numPr>
          <w:ilvl w:val="0"/>
          <w:numId w:val="1"/>
        </w:numPr>
        <w:rPr>
          <w:rFonts w:ascii="Times New Roman" w:hAnsi="Times New Roman" w:cs="Times New Roman"/>
        </w:rPr>
      </w:pPr>
      <w:r w:rsidRPr="00F1251E">
        <w:rPr>
          <w:rFonts w:ascii="Times New Roman" w:hAnsi="Times New Roman" w:cs="Times New Roman"/>
        </w:rPr>
        <w:t>Поставите размак између пасуса на 10pt одабиром одговарајуће опције за форматирање текста, а не тастером ентер.</w:t>
      </w:r>
    </w:p>
    <w:p w14:paraId="5E7F2E38" w14:textId="77777777" w:rsidR="00E765A8" w:rsidRDefault="00E765A8" w:rsidP="00E765A8">
      <w:pPr>
        <w:pStyle w:val="ListParagraph"/>
        <w:numPr>
          <w:ilvl w:val="0"/>
          <w:numId w:val="1"/>
        </w:numPr>
        <w:rPr>
          <w:rFonts w:ascii="Times New Roman" w:hAnsi="Times New Roman" w:cs="Times New Roman"/>
        </w:rPr>
      </w:pPr>
      <w:r>
        <w:rPr>
          <w:rFonts w:ascii="Times New Roman" w:hAnsi="Times New Roman" w:cs="Times New Roman"/>
        </w:rPr>
        <w:t>Поравна</w:t>
      </w:r>
      <w:r w:rsidRPr="00F1251E">
        <w:rPr>
          <w:rFonts w:ascii="Times New Roman" w:hAnsi="Times New Roman" w:cs="Times New Roman"/>
        </w:rPr>
        <w:t>те текст по обема маргинама.</w:t>
      </w:r>
    </w:p>
    <w:p w14:paraId="34D41271" w14:textId="537B7464" w:rsidR="002456E4" w:rsidRPr="002456E4" w:rsidRDefault="002456E4" w:rsidP="002456E4">
      <w:pPr>
        <w:pStyle w:val="ListParagraph"/>
        <w:numPr>
          <w:ilvl w:val="0"/>
          <w:numId w:val="1"/>
        </w:numPr>
        <w:rPr>
          <w:rFonts w:ascii="Times New Roman" w:hAnsi="Times New Roman" w:cs="Times New Roman"/>
        </w:rPr>
      </w:pPr>
      <w:r w:rsidRPr="00F1251E">
        <w:rPr>
          <w:rFonts w:ascii="Times New Roman" w:hAnsi="Times New Roman" w:cs="Times New Roman"/>
        </w:rPr>
        <w:t>Увуците први ред сваког пасуса користећи лењир, а не тастере таб или спејс.</w:t>
      </w:r>
      <w:bookmarkStart w:id="0" w:name="_GoBack"/>
      <w:bookmarkEnd w:id="0"/>
    </w:p>
    <w:p w14:paraId="501CF588" w14:textId="77777777" w:rsidR="00E765A8" w:rsidRDefault="00E765A8" w:rsidP="00E765A8">
      <w:pPr>
        <w:pStyle w:val="ListParagraph"/>
        <w:numPr>
          <w:ilvl w:val="0"/>
          <w:numId w:val="1"/>
        </w:numPr>
        <w:rPr>
          <w:rFonts w:ascii="Times New Roman" w:hAnsi="Times New Roman" w:cs="Times New Roman"/>
        </w:rPr>
      </w:pPr>
      <w:r w:rsidRPr="00F1251E">
        <w:rPr>
          <w:rFonts w:ascii="Times New Roman" w:hAnsi="Times New Roman" w:cs="Times New Roman"/>
        </w:rPr>
        <w:t>Фусноте треба додати коришћењем одговарајуће функције у програму за унос и обраду текста. Фонт треба да буде прикладан, истоветан фонту главног дела текста, а величина треба да буде 10pt.</w:t>
      </w:r>
    </w:p>
    <w:p w14:paraId="02043E6C" w14:textId="77777777" w:rsidR="00E765A8" w:rsidRDefault="00E765A8" w:rsidP="00E765A8">
      <w:pPr>
        <w:ind w:left="360"/>
      </w:pPr>
    </w:p>
    <w:p w14:paraId="77DB6ACE" w14:textId="4D149500" w:rsidR="00E765A8" w:rsidRDefault="00E765A8" w:rsidP="00E765A8">
      <w:r>
        <w:t xml:space="preserve">2. </w:t>
      </w:r>
      <w:r w:rsidRPr="00E566B7">
        <w:t xml:space="preserve">Конвертујте упуте </w:t>
      </w:r>
      <w:r>
        <w:rPr>
          <w:lang w:val="sr"/>
        </w:rPr>
        <w:t xml:space="preserve">на литературу </w:t>
      </w:r>
      <w:r w:rsidRPr="00E566B7">
        <w:t>у Чикаго (верзија са фуснотама), поштујући сва правила овог система навођења литературе. Можете да користите упутство за навођење. Списак литературе може да остане непромењен. Упућивање на литературу и изворе мора да одговара једном стилу навођења и не долази до мешања стила аутор-датум и навођења фуснотама.</w:t>
      </w:r>
    </w:p>
    <w:p w14:paraId="29A4F9F1" w14:textId="77777777" w:rsidR="00E765A8" w:rsidRDefault="00E765A8">
      <w:pPr>
        <w:jc w:val="left"/>
      </w:pPr>
      <w:r>
        <w:br w:type="page"/>
      </w:r>
    </w:p>
    <w:p w14:paraId="2AE5CDCA" w14:textId="77777777" w:rsidR="00E765A8" w:rsidRDefault="00E765A8" w:rsidP="00E765A8"/>
    <w:p w14:paraId="45D57B96" w14:textId="77777777" w:rsidR="0058690B" w:rsidRPr="00C26C1C" w:rsidRDefault="005C1263" w:rsidP="008E2214">
      <w:pPr>
        <w:spacing w:line="360" w:lineRule="auto"/>
        <w:ind w:firstLine="720"/>
        <w:jc w:val="center"/>
        <w:rPr>
          <w:rFonts w:ascii="Comic Sans MS" w:hAnsi="Comic Sans MS"/>
          <w:b/>
          <w:i/>
          <w:sz w:val="28"/>
          <w:szCs w:val="28"/>
          <w:lang w:val="en-GB"/>
        </w:rPr>
      </w:pPr>
      <w:r w:rsidRPr="00C56B04">
        <w:rPr>
          <w:rFonts w:ascii="Comic Sans MS" w:hAnsi="Comic Sans MS"/>
          <w:b/>
          <w:i/>
          <w:lang w:val="en-GB"/>
        </w:rPr>
        <w:t xml:space="preserve">U XIII veku papa Inoćentije IV (1195-1254) je nastojao da ustanovi da li udruženja mogu da počine greh, te da budu ekskomunicirana. Njegov odgovor, zasnovan na interpretaciji Justinijanovog Zakonika, bio je negativan. Odluka Inoćentija IV bila je delom zasnovana na činjenici da udruženje nema dušu i da ne može biti stvarna, već samo fiktivna osoba ili lice. (Maclean 1999, 12-13) Ovu osnovnu distinkciju je </w:t>
      </w:r>
      <w:r w:rsidRPr="008E2214">
        <w:rPr>
          <w:rFonts w:ascii="Comic Sans MS" w:hAnsi="Comic Sans MS"/>
          <w:b/>
          <w:lang w:val="en-GB"/>
        </w:rPr>
        <w:t>tokom vekova prihvatio niz pravnika, te su se zaključci Inoćentija IV postepeno razvili u teoriju fiktivnog lica (persona ficta), čime je otvorena “mogućnost da se svaki universitas (odnosno, svako mnoštvo ljudi skupljeno</w:t>
      </w:r>
      <w:r w:rsidRPr="00C56B04">
        <w:rPr>
          <w:rFonts w:ascii="Comic Sans MS" w:hAnsi="Comic Sans MS"/>
          <w:b/>
          <w:i/>
          <w:lang w:val="en-GB"/>
        </w:rPr>
        <w:t xml:space="preserve"> u jedno telo) shvati kao pravno lice, </w:t>
      </w:r>
      <w:r w:rsidRPr="00C26C1C">
        <w:rPr>
          <w:rFonts w:ascii="Comic Sans MS" w:hAnsi="Comic Sans MS"/>
          <w:b/>
          <w:i/>
          <w:sz w:val="28"/>
          <w:szCs w:val="28"/>
          <w:lang w:val="en-GB"/>
        </w:rPr>
        <w:t>razlikujući jasno to pravno lice od bilo koje prirodne osobe koja poseduje telo i dušu, a opet, u pravnom smislu, smatrajući mnoštvo pojedinaca jednim licem.” (Kantorowicz 1997,</w:t>
      </w:r>
      <w:r w:rsidR="0058690B" w:rsidRPr="00C26C1C">
        <w:rPr>
          <w:rFonts w:ascii="Comic Sans MS" w:hAnsi="Comic Sans MS"/>
          <w:b/>
          <w:i/>
          <w:sz w:val="28"/>
          <w:szCs w:val="28"/>
          <w:lang w:val="en-GB"/>
        </w:rPr>
        <w:t xml:space="preserve"> 306)</w:t>
      </w:r>
    </w:p>
    <w:p w14:paraId="5509E4DC" w14:textId="29F2F40C" w:rsidR="005C1263" w:rsidRPr="00674DDE" w:rsidRDefault="005C1263" w:rsidP="00C56B04">
      <w:pPr>
        <w:spacing w:line="360" w:lineRule="auto"/>
        <w:ind w:firstLine="720"/>
        <w:jc w:val="right"/>
        <w:rPr>
          <w:lang w:val="en-GB"/>
        </w:rPr>
      </w:pPr>
      <w:r w:rsidRPr="00C26C1C">
        <w:rPr>
          <w:sz w:val="28"/>
          <w:szCs w:val="28"/>
          <w:lang w:val="en-GB"/>
        </w:rPr>
        <w:t>Iako je naišao na određena protivljenja</w:t>
      </w:r>
      <w:r w:rsidR="00B27091" w:rsidRPr="00C26C1C">
        <w:rPr>
          <w:rFonts w:eastAsia="Georgia"/>
          <w:sz w:val="28"/>
          <w:szCs w:val="28"/>
          <w:lang w:val="en-GB"/>
        </w:rPr>
        <w:t xml:space="preserve"> </w:t>
      </w:r>
      <w:r w:rsidR="00B27091" w:rsidRPr="00C26C1C">
        <w:rPr>
          <w:sz w:val="28"/>
          <w:szCs w:val="28"/>
          <w:lang w:val="en-GB"/>
        </w:rPr>
        <w:t>(Canning 2007, 476)</w:t>
      </w:r>
      <w:r w:rsidRPr="00C26C1C">
        <w:rPr>
          <w:sz w:val="28"/>
          <w:szCs w:val="28"/>
          <w:lang w:val="en-GB"/>
        </w:rPr>
        <w:t xml:space="preserve">, koncept </w:t>
      </w:r>
      <w:r w:rsidRPr="00C26C1C">
        <w:rPr>
          <w:i/>
          <w:sz w:val="28"/>
          <w:szCs w:val="28"/>
          <w:lang w:val="en-GB"/>
        </w:rPr>
        <w:t>persone ficte</w:t>
      </w:r>
      <w:r w:rsidRPr="00C26C1C">
        <w:rPr>
          <w:sz w:val="28"/>
          <w:szCs w:val="28"/>
          <w:lang w:val="en-GB"/>
        </w:rPr>
        <w:t xml:space="preserve"> je bio široko prihvaćen od strane srednjovekovnih pravnika i našao je svoje mesto u </w:t>
      </w:r>
      <w:r w:rsidRPr="00C26C1C">
        <w:rPr>
          <w:sz w:val="28"/>
          <w:szCs w:val="28"/>
          <w:u w:val="single"/>
          <w:lang w:val="en-GB"/>
        </w:rPr>
        <w:t>pravnim sistemima širom Evrope</w:t>
      </w:r>
      <w:r w:rsidRPr="00C26C1C">
        <w:rPr>
          <w:sz w:val="28"/>
          <w:szCs w:val="28"/>
          <w:lang w:val="en-GB"/>
        </w:rPr>
        <w:t>. Kasniji prijem ideja Inoćentija IV, kako tvrdi Robert Fenstra (</w:t>
      </w:r>
      <w:r w:rsidR="0028574D" w:rsidRPr="00C26C1C">
        <w:rPr>
          <w:sz w:val="28"/>
          <w:szCs w:val="28"/>
          <w:lang w:val="en-GB"/>
        </w:rPr>
        <w:t>Robert Feenstra)</w:t>
      </w:r>
      <w:r w:rsidRPr="00C26C1C">
        <w:rPr>
          <w:sz w:val="28"/>
          <w:szCs w:val="28"/>
          <w:lang w:val="en-GB"/>
        </w:rPr>
        <w:t xml:space="preserve">, premestio je naglasak sa njegove prvobitne distinkcije, između </w:t>
      </w:r>
      <w:r w:rsidRPr="00C26C1C">
        <w:rPr>
          <w:sz w:val="28"/>
          <w:szCs w:val="28"/>
          <w:highlight w:val="yellow"/>
          <w:lang w:val="en-GB"/>
        </w:rPr>
        <w:t xml:space="preserve">pojedinačnog </w:t>
      </w:r>
      <w:r w:rsidRPr="00C26C1C">
        <w:rPr>
          <w:sz w:val="28"/>
          <w:szCs w:val="28"/>
          <w:highlight w:val="red"/>
          <w:lang w:val="en-GB"/>
        </w:rPr>
        <w:t>ljudskog</w:t>
      </w:r>
      <w:r w:rsidRPr="007B1DF1">
        <w:rPr>
          <w:highlight w:val="red"/>
          <w:lang w:val="en-GB"/>
        </w:rPr>
        <w:t xml:space="preserve"> </w:t>
      </w:r>
      <w:r w:rsidRPr="00C56B04">
        <w:rPr>
          <w:highlight w:val="yellow"/>
          <w:lang w:val="en-GB"/>
        </w:rPr>
        <w:t>bića</w:t>
      </w:r>
      <w:r>
        <w:rPr>
          <w:lang w:val="en-GB"/>
        </w:rPr>
        <w:t xml:space="preserve"> i </w:t>
      </w:r>
      <w:r w:rsidRPr="00483EF5">
        <w:rPr>
          <w:i/>
          <w:lang w:val="en-GB"/>
        </w:rPr>
        <w:t>collegium</w:t>
      </w:r>
      <w:r>
        <w:rPr>
          <w:i/>
          <w:lang w:val="en-GB"/>
        </w:rPr>
        <w:t xml:space="preserve">a </w:t>
      </w:r>
      <w:r>
        <w:rPr>
          <w:lang w:val="en-GB"/>
        </w:rPr>
        <w:t>koji se tretira kao pojedinačno lice</w:t>
      </w:r>
      <w:r w:rsidRPr="00483EF5">
        <w:rPr>
          <w:lang w:val="en-GB"/>
        </w:rPr>
        <w:t xml:space="preserve"> (</w:t>
      </w:r>
      <w:r w:rsidRPr="00483EF5">
        <w:rPr>
          <w:i/>
          <w:lang w:val="en-GB"/>
        </w:rPr>
        <w:t>fingatur una persona</w:t>
      </w:r>
      <w:r w:rsidRPr="00483EF5">
        <w:rPr>
          <w:lang w:val="en-GB"/>
        </w:rPr>
        <w:t>)</w:t>
      </w:r>
      <w:r>
        <w:rPr>
          <w:lang w:val="en-GB"/>
        </w:rPr>
        <w:t>,</w:t>
      </w:r>
      <w:r w:rsidRPr="00483EF5">
        <w:rPr>
          <w:lang w:val="en-GB"/>
        </w:rPr>
        <w:t xml:space="preserve"> </w:t>
      </w:r>
      <w:r>
        <w:rPr>
          <w:lang w:val="en-GB"/>
        </w:rPr>
        <w:t xml:space="preserve">na distinkciju između </w:t>
      </w:r>
      <w:r w:rsidRPr="00483EF5">
        <w:rPr>
          <w:lang w:val="en-GB"/>
        </w:rPr>
        <w:t>“</w:t>
      </w:r>
      <w:r w:rsidRPr="00483EF5">
        <w:rPr>
          <w:i/>
          <w:lang w:val="en-GB"/>
        </w:rPr>
        <w:t>person</w:t>
      </w:r>
      <w:r>
        <w:rPr>
          <w:i/>
          <w:lang w:val="en-GB"/>
        </w:rPr>
        <w:t>a</w:t>
      </w:r>
      <w:r w:rsidRPr="00483EF5">
        <w:rPr>
          <w:lang w:val="en-GB"/>
        </w:rPr>
        <w:t xml:space="preserve">” </w:t>
      </w:r>
      <w:r>
        <w:rPr>
          <w:lang w:val="en-GB"/>
        </w:rPr>
        <w:t>i</w:t>
      </w:r>
      <w:r w:rsidRPr="00483EF5">
        <w:rPr>
          <w:lang w:val="en-GB"/>
        </w:rPr>
        <w:t xml:space="preserve"> “</w:t>
      </w:r>
      <w:r w:rsidRPr="00483EF5">
        <w:rPr>
          <w:i/>
          <w:lang w:val="en-GB"/>
        </w:rPr>
        <w:t>p</w:t>
      </w:r>
      <w:r>
        <w:rPr>
          <w:i/>
          <w:lang w:val="en-GB"/>
        </w:rPr>
        <w:t>ersona</w:t>
      </w:r>
      <w:r w:rsidRPr="00483EF5">
        <w:rPr>
          <w:i/>
          <w:lang w:val="en-GB"/>
        </w:rPr>
        <w:t xml:space="preserve"> </w:t>
      </w:r>
      <w:r>
        <w:rPr>
          <w:i/>
          <w:lang w:val="en-GB"/>
        </w:rPr>
        <w:t>ficta</w:t>
      </w:r>
      <w:r w:rsidRPr="00483EF5">
        <w:rPr>
          <w:lang w:val="en-GB"/>
        </w:rPr>
        <w:t xml:space="preserve">”. </w:t>
      </w:r>
      <w:r w:rsidR="0028574D">
        <w:rPr>
          <w:lang w:val="en-GB"/>
        </w:rPr>
        <w:t>(Feenstra 1971,</w:t>
      </w:r>
      <w:r w:rsidR="0028574D" w:rsidRPr="00483EF5">
        <w:rPr>
          <w:lang w:val="en-GB"/>
        </w:rPr>
        <w:t xml:space="preserve"> 128)</w:t>
      </w:r>
      <w:r w:rsidR="0028574D">
        <w:rPr>
          <w:lang w:val="en-GB"/>
        </w:rPr>
        <w:t xml:space="preserve"> </w:t>
      </w:r>
      <w:r>
        <w:rPr>
          <w:lang w:val="en-GB"/>
        </w:rPr>
        <w:t>Drugim rečima, fokus</w:t>
      </w:r>
      <w:r w:rsidRPr="00483EF5">
        <w:rPr>
          <w:lang w:val="en-GB"/>
        </w:rPr>
        <w:t xml:space="preserve"> </w:t>
      </w:r>
      <w:r>
        <w:rPr>
          <w:lang w:val="en-GB"/>
        </w:rPr>
        <w:t xml:space="preserve">je premešten sa jedinstvenog pravnog lica </w:t>
      </w:r>
      <w:r w:rsidRPr="00483EF5">
        <w:rPr>
          <w:lang w:val="en-GB"/>
        </w:rPr>
        <w:t>(</w:t>
      </w:r>
      <w:r>
        <w:rPr>
          <w:lang w:val="en-GB"/>
        </w:rPr>
        <w:t>“</w:t>
      </w:r>
      <w:r>
        <w:rPr>
          <w:i/>
          <w:lang w:val="en-GB"/>
        </w:rPr>
        <w:t>una</w:t>
      </w:r>
      <w:r w:rsidRPr="00B24444">
        <w:rPr>
          <w:lang w:val="en-GB"/>
        </w:rPr>
        <w:t>”</w:t>
      </w:r>
      <w:r>
        <w:rPr>
          <w:i/>
          <w:lang w:val="en-GB"/>
        </w:rPr>
        <w:t xml:space="preserve"> </w:t>
      </w:r>
      <w:r w:rsidRPr="00B24444">
        <w:rPr>
          <w:lang w:val="en-GB"/>
        </w:rPr>
        <w:t>u</w:t>
      </w:r>
      <w:r>
        <w:rPr>
          <w:i/>
          <w:lang w:val="en-GB"/>
        </w:rPr>
        <w:t xml:space="preserve"> </w:t>
      </w:r>
      <w:r>
        <w:rPr>
          <w:lang w:val="en-GB"/>
        </w:rPr>
        <w:t>“</w:t>
      </w:r>
      <w:r>
        <w:rPr>
          <w:i/>
          <w:lang w:val="en-GB"/>
        </w:rPr>
        <w:t xml:space="preserve">fingatur </w:t>
      </w:r>
      <w:r w:rsidRPr="00483EF5">
        <w:rPr>
          <w:i/>
          <w:lang w:val="en-GB"/>
        </w:rPr>
        <w:t>una persona</w:t>
      </w:r>
      <w:r w:rsidRPr="00B24444">
        <w:rPr>
          <w:lang w:val="en-GB"/>
        </w:rPr>
        <w:t>”</w:t>
      </w:r>
      <w:r w:rsidRPr="00483EF5">
        <w:rPr>
          <w:lang w:val="en-GB"/>
        </w:rPr>
        <w:t xml:space="preserve">) </w:t>
      </w:r>
      <w:r>
        <w:rPr>
          <w:lang w:val="en-GB"/>
        </w:rPr>
        <w:t>kao oznake ujedinjenog mnoštva</w:t>
      </w:r>
      <w:r w:rsidRPr="00483EF5">
        <w:rPr>
          <w:lang w:val="en-GB"/>
        </w:rPr>
        <w:t xml:space="preserve"> (</w:t>
      </w:r>
      <w:r w:rsidRPr="00483EF5">
        <w:rPr>
          <w:i/>
          <w:lang w:val="en-GB"/>
        </w:rPr>
        <w:t>collegium</w:t>
      </w:r>
      <w:r>
        <w:rPr>
          <w:lang w:val="en-GB"/>
        </w:rPr>
        <w:t>) na fiktivnost takvog lica (“</w:t>
      </w:r>
      <w:r>
        <w:rPr>
          <w:i/>
          <w:lang w:val="en-GB"/>
        </w:rPr>
        <w:t>fingatur</w:t>
      </w:r>
      <w:r>
        <w:rPr>
          <w:lang w:val="en-GB"/>
        </w:rPr>
        <w:t>” u “</w:t>
      </w:r>
      <w:r>
        <w:rPr>
          <w:i/>
          <w:lang w:val="en-GB"/>
        </w:rPr>
        <w:t xml:space="preserve">fingatur </w:t>
      </w:r>
      <w:r w:rsidRPr="00483EF5">
        <w:rPr>
          <w:i/>
          <w:lang w:val="en-GB"/>
        </w:rPr>
        <w:t>una persona</w:t>
      </w:r>
      <w:r w:rsidRPr="00B3799E">
        <w:rPr>
          <w:lang w:val="en-GB"/>
        </w:rPr>
        <w:t>”</w:t>
      </w:r>
      <w:r>
        <w:rPr>
          <w:lang w:val="en-GB"/>
        </w:rPr>
        <w:t>).</w:t>
      </w:r>
      <w:r w:rsidRPr="00483EF5">
        <w:rPr>
          <w:lang w:val="en-GB"/>
        </w:rPr>
        <w:t xml:space="preserve"> </w:t>
      </w:r>
      <w:r>
        <w:rPr>
          <w:lang w:val="en-GB"/>
        </w:rPr>
        <w:t xml:space="preserve">Opis </w:t>
      </w:r>
      <w:r w:rsidRPr="00483EF5">
        <w:rPr>
          <w:lang w:val="en-GB"/>
        </w:rPr>
        <w:t>In</w:t>
      </w:r>
      <w:r>
        <w:rPr>
          <w:lang w:val="en-GB"/>
        </w:rPr>
        <w:t>oćentija</w:t>
      </w:r>
      <w:r w:rsidRPr="00483EF5">
        <w:rPr>
          <w:lang w:val="en-GB"/>
        </w:rPr>
        <w:t xml:space="preserve"> IV</w:t>
      </w:r>
      <w:r>
        <w:rPr>
          <w:lang w:val="en-GB"/>
        </w:rPr>
        <w:t xml:space="preserve"> je </w:t>
      </w:r>
      <w:r w:rsidRPr="004727FA">
        <w:rPr>
          <w:b/>
          <w:u w:val="single"/>
          <w:lang w:val="en-GB"/>
        </w:rPr>
        <w:t>postavio osnove veoma uticajanom konceptu persone ficte</w:t>
      </w:r>
      <w:r w:rsidRPr="00483EF5">
        <w:rPr>
          <w:lang w:val="en-GB"/>
        </w:rPr>
        <w:t>.</w:t>
      </w:r>
      <w:r>
        <w:rPr>
          <w:lang w:val="en-GB"/>
        </w:rPr>
        <w:t xml:space="preserve"> Čak i ukoliko je Fenstra u pravu i ukoliko Inoćentije IV nije nameravao da naglasi fiktivnu prirodu korporacija, upravo je to postala osnovna odlika </w:t>
      </w:r>
      <w:r>
        <w:rPr>
          <w:i/>
          <w:lang w:val="en-GB"/>
        </w:rPr>
        <w:t>persone ficte</w:t>
      </w:r>
      <w:r>
        <w:rPr>
          <w:lang w:val="en-GB"/>
        </w:rPr>
        <w:t>.</w:t>
      </w:r>
    </w:p>
    <w:p w14:paraId="779DA4DC" w14:textId="77777777" w:rsidR="00B12243" w:rsidRDefault="00B12243"/>
    <w:p w14:paraId="511125C8" w14:textId="19E34C31" w:rsidR="00C56B04" w:rsidRPr="00C56B04" w:rsidRDefault="00C56B04">
      <w:pPr>
        <w:rPr>
          <w:b/>
        </w:rPr>
      </w:pPr>
      <w:r w:rsidRPr="00C56B04">
        <w:rPr>
          <w:b/>
        </w:rPr>
        <w:t>Bibliografija:</w:t>
      </w:r>
    </w:p>
    <w:p w14:paraId="3FEEA1CF" w14:textId="77777777" w:rsidR="00C56B04" w:rsidRDefault="00C56B04"/>
    <w:p w14:paraId="293262E9" w14:textId="77777777" w:rsidR="0028574D" w:rsidRDefault="0028574D" w:rsidP="0028574D">
      <w:r>
        <w:t xml:space="preserve">Canning, Joseph P. 2007. “Law, sovereignty and corporation theory 1300-1450”, In J.H Burns (ed.), </w:t>
      </w:r>
      <w:r>
        <w:rPr>
          <w:i/>
        </w:rPr>
        <w:t>The Cambridge History of Medieval Political Thought c. 350-c. 1450</w:t>
      </w:r>
      <w:r>
        <w:t>. Cambridge: Cambridge University Press.</w:t>
      </w:r>
    </w:p>
    <w:p w14:paraId="71857DA7" w14:textId="77777777" w:rsidR="0028574D" w:rsidRDefault="0028574D"/>
    <w:p w14:paraId="565743A8" w14:textId="3AF188E1" w:rsidR="0028574D" w:rsidRDefault="0028574D">
      <w:r w:rsidRPr="0028574D">
        <w:t xml:space="preserve">Feenstra, Robert. 1971. “The Development of the Concept Foundation in Continental Law”, </w:t>
      </w:r>
      <w:r w:rsidRPr="00C56B04">
        <w:rPr>
          <w:i/>
        </w:rPr>
        <w:t>Acta Juridica</w:t>
      </w:r>
      <w:r w:rsidRPr="0028574D">
        <w:t xml:space="preserve">, </w:t>
      </w:r>
      <w:r w:rsidR="004624F0">
        <w:t xml:space="preserve">10 (2), </w:t>
      </w:r>
      <w:r w:rsidRPr="0028574D">
        <w:t>pp. 123-130.</w:t>
      </w:r>
    </w:p>
    <w:p w14:paraId="5D711359" w14:textId="77777777" w:rsidR="008C34AB" w:rsidRDefault="008C34AB"/>
    <w:p w14:paraId="5FECBD78" w14:textId="77777777" w:rsidR="008C34AB" w:rsidRDefault="008C34AB" w:rsidP="008C34AB">
      <w:r w:rsidRPr="005C1263">
        <w:t xml:space="preserve">Kantorowicz, </w:t>
      </w:r>
      <w:r>
        <w:t>E</w:t>
      </w:r>
      <w:r w:rsidRPr="005C1263">
        <w:t xml:space="preserve">rnst. 1997. </w:t>
      </w:r>
      <w:r w:rsidRPr="005C1263">
        <w:rPr>
          <w:i/>
        </w:rPr>
        <w:t>The King’s Two Bodies</w:t>
      </w:r>
      <w:r w:rsidRPr="005C1263">
        <w:t xml:space="preserve">. Princeton: Princeton </w:t>
      </w:r>
      <w:r>
        <w:t>U</w:t>
      </w:r>
      <w:r w:rsidRPr="005C1263">
        <w:t>niversity Press.</w:t>
      </w:r>
    </w:p>
    <w:p w14:paraId="182D8F4B" w14:textId="77777777" w:rsidR="008C34AB" w:rsidRDefault="008C34AB" w:rsidP="008C34AB"/>
    <w:p w14:paraId="26DEFCE6" w14:textId="77777777" w:rsidR="008C34AB" w:rsidRDefault="008C34AB" w:rsidP="008C34AB">
      <w:r w:rsidRPr="005C1263">
        <w:t xml:space="preserve">Maclean, Ian. 1999. “Legal Fictions and Fictional entites in renaissance jurisprudence”. </w:t>
      </w:r>
      <w:r w:rsidRPr="005C1263">
        <w:rPr>
          <w:i/>
        </w:rPr>
        <w:t>The Journal of Legal History</w:t>
      </w:r>
      <w:r w:rsidRPr="005C1263">
        <w:t>, 20 (3), pp. 1-24.</w:t>
      </w:r>
    </w:p>
    <w:p w14:paraId="56002DE0" w14:textId="77777777" w:rsidR="008C34AB" w:rsidRDefault="008C34AB"/>
    <w:sectPr w:rsidR="008C34AB" w:rsidSect="0055021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9B147" w14:textId="77777777" w:rsidR="005C1263" w:rsidRDefault="005C1263" w:rsidP="005C1263">
      <w:r>
        <w:separator/>
      </w:r>
    </w:p>
  </w:endnote>
  <w:endnote w:type="continuationSeparator" w:id="0">
    <w:p w14:paraId="4A48B053" w14:textId="77777777" w:rsidR="005C1263" w:rsidRDefault="005C1263" w:rsidP="005C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FB333" w14:textId="77777777" w:rsidR="005C1263" w:rsidRDefault="005C1263" w:rsidP="005C1263">
      <w:r>
        <w:separator/>
      </w:r>
    </w:p>
  </w:footnote>
  <w:footnote w:type="continuationSeparator" w:id="0">
    <w:p w14:paraId="2D13EF23" w14:textId="77777777" w:rsidR="005C1263" w:rsidRDefault="005C1263" w:rsidP="005C12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5CAA"/>
    <w:multiLevelType w:val="hybridMultilevel"/>
    <w:tmpl w:val="536C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63"/>
    <w:rsid w:val="002456E4"/>
    <w:rsid w:val="0028574D"/>
    <w:rsid w:val="00323302"/>
    <w:rsid w:val="004624F0"/>
    <w:rsid w:val="004727FA"/>
    <w:rsid w:val="004A2D5E"/>
    <w:rsid w:val="0055021C"/>
    <w:rsid w:val="0058690B"/>
    <w:rsid w:val="005C1263"/>
    <w:rsid w:val="007606EC"/>
    <w:rsid w:val="007B1DF1"/>
    <w:rsid w:val="008C34AB"/>
    <w:rsid w:val="008E2214"/>
    <w:rsid w:val="00B12243"/>
    <w:rsid w:val="00B27091"/>
    <w:rsid w:val="00C26C1C"/>
    <w:rsid w:val="00C56B04"/>
    <w:rsid w:val="00E7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C111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63"/>
    <w:pPr>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4A2D5E"/>
    <w:pPr>
      <w:keepNext/>
      <w:keepLines/>
      <w:spacing w:before="480" w:after="120" w:line="276" w:lineRule="auto"/>
      <w:contextualSpacing/>
    </w:pPr>
    <w:rPr>
      <w:b/>
      <w:color w:val="000000"/>
      <w:sz w:val="72"/>
      <w:szCs w:val="72"/>
    </w:rPr>
  </w:style>
  <w:style w:type="character" w:customStyle="1" w:styleId="TitleChar">
    <w:name w:val="Title Char"/>
    <w:basedOn w:val="DefaultParagraphFont"/>
    <w:link w:val="Title"/>
    <w:rsid w:val="004A2D5E"/>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4A2D5E"/>
    <w:pPr>
      <w:keepNext/>
      <w:keepLines/>
      <w:spacing w:before="360" w:after="80" w:line="276"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A2D5E"/>
    <w:rPr>
      <w:rFonts w:ascii="Georgia" w:eastAsia="Georgia" w:hAnsi="Georgia" w:cs="Georgia"/>
      <w:i/>
      <w:color w:val="666666"/>
      <w:sz w:val="48"/>
      <w:szCs w:val="48"/>
    </w:rPr>
  </w:style>
  <w:style w:type="paragraph" w:styleId="FootnoteText">
    <w:name w:val="footnote text"/>
    <w:basedOn w:val="Normal"/>
    <w:link w:val="FootnoteTextChar"/>
    <w:uiPriority w:val="99"/>
    <w:rsid w:val="005C1263"/>
    <w:rPr>
      <w:sz w:val="20"/>
      <w:szCs w:val="20"/>
      <w:lang w:val="x-none" w:eastAsia="x-none"/>
    </w:rPr>
  </w:style>
  <w:style w:type="character" w:customStyle="1" w:styleId="FootnoteTextChar">
    <w:name w:val="Footnote Text Char"/>
    <w:basedOn w:val="DefaultParagraphFont"/>
    <w:link w:val="FootnoteText"/>
    <w:uiPriority w:val="99"/>
    <w:rsid w:val="005C1263"/>
    <w:rPr>
      <w:rFonts w:ascii="Times New Roman" w:eastAsia="Times New Roman" w:hAnsi="Times New Roman" w:cs="Times New Roman"/>
      <w:sz w:val="20"/>
      <w:szCs w:val="20"/>
      <w:lang w:val="x-none" w:eastAsia="x-none"/>
    </w:rPr>
  </w:style>
  <w:style w:type="character" w:styleId="FootnoteReference">
    <w:name w:val="footnote reference"/>
    <w:uiPriority w:val="99"/>
    <w:rsid w:val="005C1263"/>
    <w:rPr>
      <w:vertAlign w:val="superscript"/>
    </w:rPr>
  </w:style>
  <w:style w:type="paragraph" w:styleId="ListParagraph">
    <w:name w:val="List Paragraph"/>
    <w:basedOn w:val="Normal"/>
    <w:uiPriority w:val="34"/>
    <w:qFormat/>
    <w:rsid w:val="00E765A8"/>
    <w:pPr>
      <w:ind w:left="720"/>
      <w:contextualSpacing/>
      <w:jc w:val="left"/>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63"/>
    <w:pPr>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4A2D5E"/>
    <w:pPr>
      <w:keepNext/>
      <w:keepLines/>
      <w:spacing w:before="480" w:after="120" w:line="276" w:lineRule="auto"/>
      <w:contextualSpacing/>
    </w:pPr>
    <w:rPr>
      <w:b/>
      <w:color w:val="000000"/>
      <w:sz w:val="72"/>
      <w:szCs w:val="72"/>
    </w:rPr>
  </w:style>
  <w:style w:type="character" w:customStyle="1" w:styleId="TitleChar">
    <w:name w:val="Title Char"/>
    <w:basedOn w:val="DefaultParagraphFont"/>
    <w:link w:val="Title"/>
    <w:rsid w:val="004A2D5E"/>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4A2D5E"/>
    <w:pPr>
      <w:keepNext/>
      <w:keepLines/>
      <w:spacing w:before="360" w:after="80" w:line="276"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A2D5E"/>
    <w:rPr>
      <w:rFonts w:ascii="Georgia" w:eastAsia="Georgia" w:hAnsi="Georgia" w:cs="Georgia"/>
      <w:i/>
      <w:color w:val="666666"/>
      <w:sz w:val="48"/>
      <w:szCs w:val="48"/>
    </w:rPr>
  </w:style>
  <w:style w:type="paragraph" w:styleId="FootnoteText">
    <w:name w:val="footnote text"/>
    <w:basedOn w:val="Normal"/>
    <w:link w:val="FootnoteTextChar"/>
    <w:uiPriority w:val="99"/>
    <w:rsid w:val="005C1263"/>
    <w:rPr>
      <w:sz w:val="20"/>
      <w:szCs w:val="20"/>
      <w:lang w:val="x-none" w:eastAsia="x-none"/>
    </w:rPr>
  </w:style>
  <w:style w:type="character" w:customStyle="1" w:styleId="FootnoteTextChar">
    <w:name w:val="Footnote Text Char"/>
    <w:basedOn w:val="DefaultParagraphFont"/>
    <w:link w:val="FootnoteText"/>
    <w:uiPriority w:val="99"/>
    <w:rsid w:val="005C1263"/>
    <w:rPr>
      <w:rFonts w:ascii="Times New Roman" w:eastAsia="Times New Roman" w:hAnsi="Times New Roman" w:cs="Times New Roman"/>
      <w:sz w:val="20"/>
      <w:szCs w:val="20"/>
      <w:lang w:val="x-none" w:eastAsia="x-none"/>
    </w:rPr>
  </w:style>
  <w:style w:type="character" w:styleId="FootnoteReference">
    <w:name w:val="footnote reference"/>
    <w:uiPriority w:val="99"/>
    <w:rsid w:val="005C1263"/>
    <w:rPr>
      <w:vertAlign w:val="superscript"/>
    </w:rPr>
  </w:style>
  <w:style w:type="paragraph" w:styleId="ListParagraph">
    <w:name w:val="List Paragraph"/>
    <w:basedOn w:val="Normal"/>
    <w:uiPriority w:val="34"/>
    <w:qFormat/>
    <w:rsid w:val="00E765A8"/>
    <w:pPr>
      <w:ind w:left="720"/>
      <w:contextualSpacing/>
      <w:jc w:val="left"/>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510</Words>
  <Characters>2911</Characters>
  <Application>Microsoft Macintosh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Simendić</dc:creator>
  <cp:keywords/>
  <dc:description/>
  <cp:lastModifiedBy>Marko Simendić</cp:lastModifiedBy>
  <cp:revision>15</cp:revision>
  <dcterms:created xsi:type="dcterms:W3CDTF">2018-11-15T07:07:00Z</dcterms:created>
  <dcterms:modified xsi:type="dcterms:W3CDTF">2020-05-07T08:08:00Z</dcterms:modified>
</cp:coreProperties>
</file>